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14" w:rsidRPr="00C06114" w:rsidRDefault="00C06114" w:rsidP="00C06114">
      <w:pPr>
        <w:pStyle w:val="NormalWeb"/>
        <w:shd w:val="clear" w:color="auto" w:fill="FFFFFF"/>
        <w:rPr>
          <w:rFonts w:ascii="Calibri" w:hAnsi="Calibri"/>
          <w:b/>
          <w:color w:val="000000"/>
        </w:rPr>
      </w:pPr>
      <w:bookmarkStart w:id="0" w:name="_GoBack"/>
      <w:bookmarkEnd w:id="0"/>
      <w:r w:rsidRPr="00C06114">
        <w:rPr>
          <w:rFonts w:ascii="Calibri" w:hAnsi="Calibri"/>
          <w:b/>
          <w:color w:val="000000"/>
        </w:rPr>
        <w:t>Table 1: Comparison of Major International Agreements Addressing Ownership of Plant Genetic Resources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965"/>
        <w:gridCol w:w="810"/>
        <w:gridCol w:w="2295"/>
        <w:gridCol w:w="2295"/>
        <w:gridCol w:w="2295"/>
        <w:gridCol w:w="2295"/>
      </w:tblGrid>
      <w:tr w:rsidR="007A56EE" w:rsidRPr="00A071BB" w:rsidTr="002A2D5D">
        <w:tc>
          <w:tcPr>
            <w:tcW w:w="2965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</w:rPr>
            </w:pPr>
            <w:r w:rsidRPr="00F822A8">
              <w:rPr>
                <w:rFonts w:ascii="Calibri" w:hAnsi="Calibri"/>
                <w:color w:val="000000"/>
              </w:rPr>
              <w:t xml:space="preserve"> </w:t>
            </w:r>
            <w:r w:rsidRPr="00A071BB">
              <w:rPr>
                <w:rFonts w:ascii="Calibri" w:hAnsi="Calibri"/>
                <w:color w:val="000000"/>
                <w:sz w:val="24"/>
              </w:rPr>
              <w:t>Agreement</w:t>
            </w:r>
          </w:p>
        </w:tc>
        <w:tc>
          <w:tcPr>
            <w:tcW w:w="810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</w:rPr>
            </w:pPr>
            <w:r w:rsidRPr="00A071BB">
              <w:rPr>
                <w:rFonts w:ascii="Calibri" w:hAnsi="Calibri"/>
                <w:color w:val="000000"/>
                <w:sz w:val="24"/>
              </w:rPr>
              <w:t>Entry Into Fo</w:t>
            </w:r>
            <w:r>
              <w:rPr>
                <w:rFonts w:ascii="Calibri" w:hAnsi="Calibri"/>
                <w:color w:val="000000"/>
                <w:sz w:val="24"/>
              </w:rPr>
              <w:t>r</w:t>
            </w:r>
            <w:r w:rsidRPr="00A071BB">
              <w:rPr>
                <w:rFonts w:ascii="Calibri" w:hAnsi="Calibri"/>
                <w:color w:val="000000"/>
                <w:sz w:val="24"/>
              </w:rPr>
              <w:t>ce</w:t>
            </w:r>
          </w:p>
        </w:tc>
        <w:tc>
          <w:tcPr>
            <w:tcW w:w="2295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</w:rPr>
            </w:pPr>
            <w:r w:rsidRPr="00A071BB">
              <w:rPr>
                <w:rFonts w:ascii="Calibri" w:hAnsi="Calibri"/>
                <w:color w:val="000000"/>
                <w:sz w:val="24"/>
              </w:rPr>
              <w:t>Status of Patent Holder Rights</w:t>
            </w:r>
          </w:p>
        </w:tc>
        <w:tc>
          <w:tcPr>
            <w:tcW w:w="2295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</w:rPr>
            </w:pPr>
            <w:r w:rsidRPr="00A071BB">
              <w:rPr>
                <w:rFonts w:ascii="Calibri" w:hAnsi="Calibri"/>
                <w:color w:val="000000"/>
                <w:sz w:val="24"/>
              </w:rPr>
              <w:t>Status of Plant Breeders Rights</w:t>
            </w:r>
          </w:p>
        </w:tc>
        <w:tc>
          <w:tcPr>
            <w:tcW w:w="2295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</w:rPr>
            </w:pPr>
            <w:r w:rsidRPr="00A071BB">
              <w:rPr>
                <w:rFonts w:ascii="Calibri" w:hAnsi="Calibri"/>
                <w:color w:val="000000"/>
                <w:sz w:val="24"/>
              </w:rPr>
              <w:t>Status of Farmers Rights</w:t>
            </w:r>
          </w:p>
        </w:tc>
        <w:tc>
          <w:tcPr>
            <w:tcW w:w="2295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</w:rPr>
            </w:pPr>
            <w:r w:rsidRPr="00A071BB">
              <w:rPr>
                <w:rFonts w:ascii="Calibri" w:hAnsi="Calibri"/>
                <w:color w:val="000000"/>
                <w:sz w:val="24"/>
              </w:rPr>
              <w:t>Political Dynamics</w:t>
            </w:r>
          </w:p>
        </w:tc>
      </w:tr>
      <w:tr w:rsidR="007A56EE" w:rsidRPr="00A071BB" w:rsidTr="002A2D5D">
        <w:tc>
          <w:tcPr>
            <w:tcW w:w="2965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</w:rPr>
            </w:pPr>
            <w:r w:rsidRPr="00A071BB">
              <w:rPr>
                <w:rFonts w:ascii="Calibri" w:hAnsi="Calibri"/>
                <w:color w:val="000000"/>
                <w:sz w:val="24"/>
              </w:rPr>
              <w:t>WTO’s Trade Related Intellectual Property Rights (TRIPs) Agreement</w:t>
            </w:r>
          </w:p>
        </w:tc>
        <w:tc>
          <w:tcPr>
            <w:tcW w:w="810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1996</w:t>
            </w:r>
          </w:p>
        </w:tc>
        <w:tc>
          <w:tcPr>
            <w:tcW w:w="2295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20-year protection for new plant varieties; Provisions for sui generis protections.</w:t>
            </w:r>
          </w:p>
        </w:tc>
        <w:tc>
          <w:tcPr>
            <w:tcW w:w="2295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Not included</w:t>
            </w:r>
          </w:p>
        </w:tc>
        <w:tc>
          <w:tcPr>
            <w:tcW w:w="2295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Not included</w:t>
            </w:r>
          </w:p>
        </w:tc>
        <w:tc>
          <w:tcPr>
            <w:tcW w:w="2295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 xml:space="preserve">Enforceable through the WTO’s trade dispute settlement mechanism. Contains no provision subsuming its authority to other agreements. </w:t>
            </w:r>
          </w:p>
        </w:tc>
      </w:tr>
      <w:tr w:rsidR="007A56EE" w:rsidRPr="00A071BB" w:rsidTr="002A2D5D">
        <w:tc>
          <w:tcPr>
            <w:tcW w:w="2965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>Convention on Biological Diversity (CBD)</w:t>
            </w:r>
          </w:p>
        </w:tc>
        <w:tc>
          <w:tcPr>
            <w:tcW w:w="810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>1993</w:t>
            </w:r>
          </w:p>
        </w:tc>
        <w:tc>
          <w:tcPr>
            <w:tcW w:w="2295" w:type="dxa"/>
          </w:tcPr>
          <w:p w:rsidR="00C06114" w:rsidRPr="00A071BB" w:rsidRDefault="00E44B8B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>Any agreement must “recognize and [be] consistent with the adequate and effective protection of intellectual property rights.” (Art. 16.2)</w:t>
            </w:r>
          </w:p>
        </w:tc>
        <w:tc>
          <w:tcPr>
            <w:tcW w:w="2295" w:type="dxa"/>
          </w:tcPr>
          <w:p w:rsidR="00C06114" w:rsidRPr="00A071BB" w:rsidRDefault="00E44B8B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</w:rPr>
              <w:t>Not included</w:t>
            </w:r>
          </w:p>
        </w:tc>
        <w:tc>
          <w:tcPr>
            <w:tcW w:w="2295" w:type="dxa"/>
          </w:tcPr>
          <w:p w:rsidR="00C06114" w:rsidRPr="00A071BB" w:rsidRDefault="00E44B8B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>Benefit sharing is mandated, with exact terms negotiated between governments and interested parties.</w:t>
            </w:r>
          </w:p>
        </w:tc>
        <w:tc>
          <w:tcPr>
            <w:tcW w:w="2295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 xml:space="preserve">Formally replaced the common heritage doctrine with the principle that genetic resources were subject to national sovereignty. </w:t>
            </w:r>
          </w:p>
        </w:tc>
      </w:tr>
      <w:tr w:rsidR="007A56EE" w:rsidRPr="00A071BB" w:rsidTr="002A2D5D">
        <w:tc>
          <w:tcPr>
            <w:tcW w:w="2965" w:type="dxa"/>
          </w:tcPr>
          <w:p w:rsidR="00C06114" w:rsidRDefault="00C06114" w:rsidP="00C0611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 w:rsidRPr="00F822A8">
              <w:rPr>
                <w:rFonts w:ascii="Calibri" w:hAnsi="Calibri"/>
                <w:color w:val="000000"/>
              </w:rPr>
              <w:t>Nagoya Protocol on Access to Genetic Resources and</w:t>
            </w:r>
            <w:r>
              <w:rPr>
                <w:rFonts w:ascii="Calibri" w:hAnsi="Calibri"/>
                <w:color w:val="000000"/>
              </w:rPr>
              <w:t xml:space="preserve"> the Fair and Equitable Sharing </w:t>
            </w:r>
            <w:r w:rsidRPr="00F822A8">
              <w:rPr>
                <w:rFonts w:ascii="Calibri" w:hAnsi="Calibri"/>
                <w:color w:val="000000"/>
              </w:rPr>
              <w:t xml:space="preserve">of Benefits Arising from their Utilization to the Convention on Biological Diversity </w:t>
            </w:r>
          </w:p>
        </w:tc>
        <w:tc>
          <w:tcPr>
            <w:tcW w:w="810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>2014</w:t>
            </w:r>
          </w:p>
        </w:tc>
        <w:tc>
          <w:tcPr>
            <w:tcW w:w="2295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 xml:space="preserve">Facilitates the fair and equitable sharing of benefits arising from the utilization of genetic resources to incentive the conservation and sustainable use of biodiversity. </w:t>
            </w:r>
          </w:p>
        </w:tc>
        <w:tc>
          <w:tcPr>
            <w:tcW w:w="2295" w:type="dxa"/>
          </w:tcPr>
          <w:p w:rsidR="00C06114" w:rsidRPr="00A071BB" w:rsidRDefault="00E44B8B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</w:rPr>
              <w:t>Not included</w:t>
            </w:r>
          </w:p>
        </w:tc>
        <w:tc>
          <w:tcPr>
            <w:tcW w:w="2295" w:type="dxa"/>
          </w:tcPr>
          <w:p w:rsidR="00C06114" w:rsidRPr="00A071BB" w:rsidRDefault="00E44B8B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 xml:space="preserve">Mandated and to be implemented through national legislation. </w:t>
            </w:r>
          </w:p>
        </w:tc>
        <w:tc>
          <w:tcPr>
            <w:tcW w:w="2295" w:type="dxa"/>
          </w:tcPr>
          <w:p w:rsidR="00C06114" w:rsidRPr="00A071BB" w:rsidRDefault="00C06114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>Supplementary agreement to the CBD</w:t>
            </w:r>
          </w:p>
        </w:tc>
      </w:tr>
      <w:tr w:rsidR="00C06114" w:rsidRPr="00A071BB" w:rsidTr="002A2D5D">
        <w:tc>
          <w:tcPr>
            <w:tcW w:w="2965" w:type="dxa"/>
          </w:tcPr>
          <w:p w:rsidR="00C06114" w:rsidRPr="00F822A8" w:rsidRDefault="00C06114" w:rsidP="00C061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FAO’s </w:t>
            </w:r>
            <w:r w:rsidRPr="00F822A8">
              <w:rPr>
                <w:rFonts w:ascii="Calibri" w:hAnsi="Calibri"/>
                <w:color w:val="000000"/>
              </w:rPr>
              <w:t xml:space="preserve">International Treaty on Plant Genetic Resources for Food and Agriculture </w:t>
            </w:r>
            <w:r>
              <w:rPr>
                <w:rFonts w:ascii="Calibri" w:hAnsi="Calibri"/>
                <w:color w:val="000000"/>
              </w:rPr>
              <w:t>(ITPGRFA)</w:t>
            </w:r>
          </w:p>
        </w:tc>
        <w:tc>
          <w:tcPr>
            <w:tcW w:w="810" w:type="dxa"/>
          </w:tcPr>
          <w:p w:rsidR="00C06114" w:rsidRPr="00A071BB" w:rsidRDefault="00804ADA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>2004</w:t>
            </w:r>
          </w:p>
        </w:tc>
        <w:tc>
          <w:tcPr>
            <w:tcW w:w="2295" w:type="dxa"/>
          </w:tcPr>
          <w:p w:rsidR="00C06114" w:rsidRPr="00A071BB" w:rsidRDefault="00804ADA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 xml:space="preserve">Limits patent protections for varieties developed from genetic stock contained in the multilateral system (MLS). </w:t>
            </w:r>
          </w:p>
        </w:tc>
        <w:tc>
          <w:tcPr>
            <w:tcW w:w="2295" w:type="dxa"/>
          </w:tcPr>
          <w:p w:rsidR="00C06114" w:rsidRPr="00A071BB" w:rsidRDefault="00804ADA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>Implied in right to use and exchange seed</w:t>
            </w:r>
            <w:r w:rsidR="00AE511F">
              <w:rPr>
                <w:rFonts w:ascii="Calibri" w:hAnsi="Calibri"/>
                <w:color w:val="000000"/>
                <w:sz w:val="24"/>
                <w:szCs w:val="27"/>
              </w:rPr>
              <w:t xml:space="preserve">, subject to limits based on requirement for access and benefit sharing. </w:t>
            </w:r>
          </w:p>
        </w:tc>
        <w:tc>
          <w:tcPr>
            <w:tcW w:w="2295" w:type="dxa"/>
          </w:tcPr>
          <w:p w:rsidR="00C06114" w:rsidRPr="00A071BB" w:rsidRDefault="00804ADA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 xml:space="preserve">Recognizes </w:t>
            </w:r>
            <w:r w:rsidR="00AE511F">
              <w:rPr>
                <w:rFonts w:ascii="Calibri" w:hAnsi="Calibri"/>
                <w:color w:val="000000"/>
                <w:sz w:val="24"/>
                <w:szCs w:val="27"/>
              </w:rPr>
              <w:t>farmers’</w:t>
            </w:r>
            <w:r>
              <w:rPr>
                <w:rFonts w:ascii="Calibri" w:hAnsi="Calibri"/>
                <w:color w:val="000000"/>
                <w:sz w:val="24"/>
                <w:szCs w:val="27"/>
              </w:rPr>
              <w:t xml:space="preserve"> right to use, save, sell, and exchange seed subject to national law. </w:t>
            </w:r>
          </w:p>
        </w:tc>
        <w:tc>
          <w:tcPr>
            <w:tcW w:w="2295" w:type="dxa"/>
          </w:tcPr>
          <w:p w:rsidR="00C06114" w:rsidRPr="00A071BB" w:rsidRDefault="00AE511F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 xml:space="preserve">Article 12.3.d limits intellectual property claims in a manner that could be at odds with TRIPs protections. </w:t>
            </w:r>
          </w:p>
        </w:tc>
      </w:tr>
      <w:tr w:rsidR="00C06114" w:rsidRPr="00A071BB" w:rsidTr="002A2D5D">
        <w:tc>
          <w:tcPr>
            <w:tcW w:w="2965" w:type="dxa"/>
          </w:tcPr>
          <w:p w:rsidR="00C06114" w:rsidRDefault="00C06114" w:rsidP="00C06114">
            <w:pPr>
              <w:rPr>
                <w:rFonts w:ascii="Calibri" w:hAnsi="Calibri"/>
                <w:color w:val="000000"/>
              </w:rPr>
            </w:pPr>
            <w:r w:rsidRPr="00F822A8">
              <w:rPr>
                <w:rFonts w:ascii="Calibri" w:hAnsi="Calibri"/>
                <w:color w:val="000000"/>
              </w:rPr>
              <w:t>International Union for the Protection of New Varieties</w:t>
            </w:r>
            <w:r>
              <w:rPr>
                <w:rFonts w:ascii="Calibri" w:hAnsi="Calibri"/>
                <w:color w:val="000000"/>
              </w:rPr>
              <w:t xml:space="preserve"> of Plants (UPOV)</w:t>
            </w:r>
          </w:p>
        </w:tc>
        <w:tc>
          <w:tcPr>
            <w:tcW w:w="810" w:type="dxa"/>
          </w:tcPr>
          <w:p w:rsidR="00C06114" w:rsidRPr="00A071BB" w:rsidRDefault="002A2D5D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>1961 (rev. 1972, 1978, 1991)</w:t>
            </w:r>
          </w:p>
        </w:tc>
        <w:tc>
          <w:tcPr>
            <w:tcW w:w="2295" w:type="dxa"/>
          </w:tcPr>
          <w:p w:rsidR="00C06114" w:rsidRPr="00A071BB" w:rsidRDefault="002A2D5D" w:rsidP="002A2D5D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 xml:space="preserve">Establishes criteria for protection of new plant varieties, which must be: (1) novel; (2) distinctive; (3) homogenous; and (4) stabile. Specific protections outlined under national legislation. </w:t>
            </w:r>
          </w:p>
        </w:tc>
        <w:tc>
          <w:tcPr>
            <w:tcW w:w="2295" w:type="dxa"/>
          </w:tcPr>
          <w:p w:rsidR="00C06114" w:rsidRPr="00A071BB" w:rsidRDefault="007A56EE" w:rsidP="007A56EE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 xml:space="preserve">1978 version permitted use of protected varieties for the non-commercial development of new plant varieties. Exemption was limited in 1991 version. </w:t>
            </w:r>
          </w:p>
        </w:tc>
        <w:tc>
          <w:tcPr>
            <w:tcW w:w="2295" w:type="dxa"/>
          </w:tcPr>
          <w:p w:rsidR="00C06114" w:rsidRPr="00A071BB" w:rsidRDefault="007A56EE" w:rsidP="007A56EE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>1978 version permitted use of protected varieties for non-commercial applications (e.g., subsistence farming). Exemption was limited in 1991 version.</w:t>
            </w:r>
          </w:p>
        </w:tc>
        <w:tc>
          <w:tcPr>
            <w:tcW w:w="2295" w:type="dxa"/>
          </w:tcPr>
          <w:p w:rsidR="00C06114" w:rsidRPr="00A071BB" w:rsidRDefault="007A56EE" w:rsidP="004139B4">
            <w:pPr>
              <w:rPr>
                <w:rFonts w:ascii="Calibri" w:hAnsi="Calibri"/>
                <w:color w:val="000000"/>
                <w:sz w:val="24"/>
                <w:szCs w:val="27"/>
              </w:rPr>
            </w:pPr>
            <w:r>
              <w:rPr>
                <w:rFonts w:ascii="Calibri" w:hAnsi="Calibri"/>
                <w:color w:val="000000"/>
                <w:sz w:val="24"/>
                <w:szCs w:val="27"/>
              </w:rPr>
              <w:t>Exemptions under earlier versions have gradually been limited under more recent revisions, which falls closer in line with the TRIPs requirement for 20-year monopoly protection.</w:t>
            </w:r>
          </w:p>
        </w:tc>
      </w:tr>
    </w:tbl>
    <w:p w:rsidR="00C06114" w:rsidRDefault="00C06114" w:rsidP="00C06114">
      <w:pPr>
        <w:rPr>
          <w:rFonts w:ascii="Calibri" w:hAnsi="Calibri"/>
          <w:color w:val="000000"/>
          <w:sz w:val="27"/>
          <w:szCs w:val="27"/>
        </w:rPr>
      </w:pPr>
    </w:p>
    <w:p w:rsidR="00D96229" w:rsidRDefault="003863EA"/>
    <w:sectPr w:rsidR="00D96229" w:rsidSect="00C061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14"/>
    <w:rsid w:val="002A2D5D"/>
    <w:rsid w:val="00321D20"/>
    <w:rsid w:val="003863EA"/>
    <w:rsid w:val="00652B73"/>
    <w:rsid w:val="007A56EE"/>
    <w:rsid w:val="00804ADA"/>
    <w:rsid w:val="00AE511F"/>
    <w:rsid w:val="00C06114"/>
    <w:rsid w:val="00E4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2332</Characters>
  <Application>Microsoft Macintosh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Zerbe</dc:creator>
  <cp:keywords/>
  <dc:description/>
  <cp:lastModifiedBy>Annette Desmarais</cp:lastModifiedBy>
  <cp:revision>2</cp:revision>
  <dcterms:created xsi:type="dcterms:W3CDTF">2014-11-08T19:05:00Z</dcterms:created>
  <dcterms:modified xsi:type="dcterms:W3CDTF">2014-11-08T19:05:00Z</dcterms:modified>
</cp:coreProperties>
</file>